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n5zly9azgp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ADATKEZELÉSI TÁJÉKOZTATÓ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esjjcdk3s4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Az adatkezelő adatai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Adatkezelő: Vendéglátás Menedzsment Kft.</w:t>
        <w:br w:type="textWrapping"/>
        <w:t xml:space="preserve">Székhely: 2314 Halásztelek, Táncsics Mihály u. 94.</w:t>
        <w:br w:type="textWrapping"/>
        <w:t xml:space="preserve">Cégjegyzékszám: 13-09-185465</w:t>
        <w:br w:type="textWrapping"/>
        <w:t xml:space="preserve">Adószám: 25002449-2-13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kiszoltan@vm.hu</w:t>
        <w:br w:type="textWrapping"/>
        <w:t xml:space="preserve">Telefon: +36 20 2345 960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p3x3glpd81r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Az adatkezelés célja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honlapon keresztül megadott személyes adatokat az alábbi célokra kezeljük: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kapcsolatfelvétel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üzleti egyeztetés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szolgáltatás nyújtása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szakmai kommunikáció.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tf7yl91tcb5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Kezelt adatok köre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kapcsolatfelvétel során az alábbi adatok kerülhetnek kezelésre: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név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 cím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telefonszám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üzenet tartalma.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dcdkf7f6167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Az adatkezelés jogalapja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adatkezelés jogalapja az érintett önkéntes hozzájárulása a GDPR 6. cikk (1) bekezdés a) pontja alapján.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91rx04nv6tz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Az adatok tárolásának időtartama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személyes adatokat a kapcsolatfelvétel céljának fennállásáig, illetve legfeljebb 5 évig őrizzük meg.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6hgx69kf46d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Az adatok továbbítása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a személyes adatokat harmadik félnek nem adja át, kivéve ha azt jogszabály írja elő.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8r8edmq7ssa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Az érintett jogai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érintett jogosult: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tájékoztatást kérni személyes adatai kezeléséről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kérni az adatok helyesbítését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kérni az adatok törlését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tiltakozni az adatkezelés ellen.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eylg2g7v4l4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Jogorvoslat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Adatkezeléssel kapcsolatos panasz esetén az alábbi hatósághoz lehet fordulni: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Nemzeti Adatvédelmi és Információszabadság Hatóság (NAIH)</w:t>
        <w:br w:type="textWrapping"/>
        <w:t xml:space="preserve">Cím: 1055 Budapest, Falk Miksa utca 9–11.</w:t>
        <w:br w:type="textWrapping"/>
        <w:t xml:space="preserve">Web: www.naih.hu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fldeg1vxp1r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Sütik (Cookie)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 a működéséhez szükséges technikai sütiket használhat.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sütik célja a honlap megfelelő működésének biztosítása és a felhasználói élmény javítása.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