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vch3loyhel0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JOGI NYILATKOZAT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6wj46vp7on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Általános információk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www.vendeglatasmenedzsment.hu</w:t>
        </w:r>
      </w:hyperlink>
      <w:r w:rsidDel="00000000" w:rsidR="00000000" w:rsidRPr="00000000">
        <w:rPr>
          <w:rtl w:val="0"/>
        </w:rPr>
        <w:t xml:space="preserve"> honlapon közzétett tartalmak kizárólag tájékoztató jellegűek.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honlapon található szakmai anyagok, elemzések, cikkek és információk célja a vendéglátóipari vállalkozások működésének általános bemutatása és szakmai szemléletformálása.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 tartalma nem minősül pénzügyi, befektetési vagy jogi tanácsadásnak.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7h0i4yv3sgf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Az audit szolgáltatás jellege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Vendéglátás Menedzsment Audit szolgáltatás keretében a Szolgáltató működési elemzést, gazdasági értékelést és szakmai javaslatokat készít.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audit során készített riportok és elemzések célja: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működés áttekintése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gazdasági folyamatok értékelése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fejlesztési lehetőségek feltárása.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audit során megfogalmazott megállapítások és javaslatok szakmai véleménynek minősülnek.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diqy7c551sd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Gazdasági számítások és becslések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audit során alkalmazott számítások, becslések és elemzések a rendelkezésre álló adatok alapján készülnek.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riportban szereplő: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profitpotenciál becslések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gazdasági mutatók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működési javaslatok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nem tekinthetők garantált gazdasági eredménynek.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vállalkozás jövőbeli gazdasági teljesítménye számos olyan tényezőtől függ, amely a Szolgáltató befolyásán kívül esik.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st3t1y32y6t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Üzleti döntések felelőssége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által készített elemzések és javaslatok a döntéshozatal támogatását szolgálják.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vállalkozás működésével kapcsolatos üzleti döntések meghozatala minden esetben a megrendelő felelőssége.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nem vállal felelősséget a megrendelő által hozott üzleti döntések következményeiért.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eicpfwhe65e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A honlap tartalmának felhasználása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honlapon megjelenő tartalmak – különösen: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szövegek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módszertani anyagok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audit rendszer leírása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szakmai publikációk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szerzői jogi védelem alatt állnak.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tartalmak bármilyen formában történő felhasználása kizárólag a Szolgáltató előzetes írásos engedélyével lehetséges.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1y5gnny4c1y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Kapcsolat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honlappal vagy a szolgáltatással kapcsolatos kérdések esetén az alábbi elérhetőségeken lehet kapcsolatba lépni a Szolgáltatóval.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Vendéglátás Menedzsment Kft.</w:t>
        <w:br w:type="textWrapping"/>
        <w:t xml:space="preserve">2314 Halásztelek, Táncsics Mihály u. 94.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kiszoltan@vm.hu</w:t>
        <w:br w:type="textWrapping"/>
        <w:t xml:space="preserve">Telefon: +36 20 2345 960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vendeglatasmenedzsment.hu" TargetMode="External"/><Relationship Id="rId7" Type="http://schemas.openxmlformats.org/officeDocument/2006/relationships/hyperlink" Target="http://www.vendeglatasmenedzsmen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